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Уважаемые коллеги!</w:t>
      </w:r>
    </w:p>
    <w:p>
      <w:pPr>
        <w:pStyle w:val="Normal"/>
        <w:jc w:val="center"/>
        <w:rPr>
          <w:sz w:val="28"/>
          <w:szCs w:val="28"/>
        </w:rPr>
      </w:pPr>
      <w:r>
        <w:rPr>
          <w:sz w:val="28"/>
          <w:szCs w:val="28"/>
        </w:rPr>
      </w:r>
    </w:p>
    <w:p>
      <w:pPr>
        <w:pStyle w:val="Normal"/>
        <w:ind w:firstLine="708"/>
        <w:jc w:val="both"/>
        <w:rPr>
          <w:sz w:val="28"/>
          <w:szCs w:val="28"/>
        </w:rPr>
      </w:pPr>
      <w:r>
        <w:rPr>
          <w:sz w:val="28"/>
          <w:szCs w:val="28"/>
        </w:rPr>
        <w:t xml:space="preserve">Готовиться к изданию </w:t>
      </w:r>
      <w:r>
        <w:rPr>
          <w:sz w:val="28"/>
          <w:szCs w:val="28"/>
        </w:rPr>
        <w:t>очередной</w:t>
      </w:r>
      <w:r>
        <w:rPr>
          <w:sz w:val="28"/>
          <w:szCs w:val="28"/>
        </w:rPr>
        <w:t xml:space="preserve"> выпуск журнала «Вестник РХТУ им. Д.И. Менделеева. Гуманитарные и социально-экономические исследования». Журнал входит в базу данных РИНЦ.</w:t>
      </w:r>
    </w:p>
    <w:p>
      <w:pPr>
        <w:pStyle w:val="Normal"/>
        <w:ind w:firstLine="708"/>
        <w:jc w:val="both"/>
        <w:rPr>
          <w:sz w:val="28"/>
          <w:szCs w:val="28"/>
        </w:rPr>
      </w:pPr>
      <w:r>
        <w:rPr>
          <w:sz w:val="28"/>
          <w:szCs w:val="28"/>
        </w:rPr>
        <w:t>Приглашаем к сотрудничеству преподавателей, научных сотрудников,  аспирантов и студентов РХТУ, а также  представителей других вузов, выполняющих исследования в области гуманитарных и социально-экономических исследований.</w:t>
      </w:r>
    </w:p>
    <w:p>
      <w:pPr>
        <w:pStyle w:val="Normal"/>
        <w:ind w:firstLine="708"/>
        <w:jc w:val="both"/>
        <w:rPr>
          <w:sz w:val="28"/>
          <w:szCs w:val="28"/>
        </w:rPr>
      </w:pPr>
      <w:r>
        <w:rPr/>
      </w:r>
    </w:p>
    <w:p>
      <w:pPr>
        <w:pStyle w:val="Normal"/>
        <w:ind w:hanging="0"/>
        <w:jc w:val="both"/>
        <w:rPr/>
      </w:pPr>
      <w:r>
        <w:rPr/>
        <w:tab/>
      </w:r>
      <w:r>
        <w:rPr>
          <w:b/>
          <w:bCs/>
          <w:sz w:val="28"/>
          <w:szCs w:val="28"/>
        </w:rPr>
        <w:t xml:space="preserve">Прислать материалы можно по адресу </w:t>
      </w:r>
      <w:hyperlink r:id="rId2">
        <w:r>
          <w:rPr>
            <w:rStyle w:val="Hyperlink"/>
            <w:b/>
            <w:bCs/>
            <w:sz w:val="28"/>
            <w:szCs w:val="28"/>
          </w:rPr>
          <w:t>efimova.n.s@muctr.ru</w:t>
        </w:r>
      </w:hyperlink>
      <w:r>
        <w:rPr>
          <w:b/>
          <w:bCs/>
          <w:sz w:val="28"/>
          <w:szCs w:val="28"/>
        </w:rPr>
        <w:t>.</w:t>
      </w:r>
    </w:p>
    <w:p>
      <w:pPr>
        <w:pStyle w:val="Normal"/>
        <w:rPr/>
      </w:pPr>
      <w:r>
        <w:rPr/>
      </w:r>
    </w:p>
    <w:p>
      <w:pPr>
        <w:pStyle w:val="Normal"/>
        <w:spacing w:lineRule="auto" w:line="360"/>
        <w:jc w:val="center"/>
        <w:rPr>
          <w:rFonts w:eastAsia="Times New Roman"/>
          <w:b/>
          <w:sz w:val="28"/>
          <w:szCs w:val="28"/>
          <w:lang w:eastAsia="ru-RU"/>
        </w:rPr>
      </w:pPr>
      <w:r>
        <w:rPr>
          <w:rFonts w:eastAsia="Times New Roman"/>
          <w:b/>
          <w:sz w:val="28"/>
          <w:szCs w:val="28"/>
          <w:lang w:eastAsia="ru-RU"/>
        </w:rPr>
        <w:t>Требования к публикации:</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t xml:space="preserve">1. В структуру статьи должны входить: название статьи, фамилии и инициалы авторов, аннотация и ключевые слова на русском и английском языках, введение (краткое), цель исследования, материал и методы исследования, результаты исследования и их обсуждение, выводы или заключение, список литературы, </w:t>
        <w:tab/>
        <w:t xml:space="preserve">информация об авторах. </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t>Статья начинается с указания УДК (выравнивание по левому краю, кегль – 14). На следующей строке фамилии и инициалов авторов (выравнивание по правому краю, кегль – 14). На следующей строке название материалов заглавными буквами (полужирный шрифт, выравнивание по центру, кегль – 14). Через строку – аннотация и ключевые слова на русском и английском языках (кегль – 12). Далее через строку печатается текст (абзацный отступ 1,25 см). Ссылки на литературу в тексте – в квадратных скобках. После основного текста приводится список литературы (кегль – 12). Через строку информация об авторе: ФИО (полностью) – ученая степень, ученое звание, должность, место работы, город, e-mail. Для авторов студентов (бакалавров, магистрантов, аспирантов) - обязательно указание места учебы (структурное подразделение, кафедра), направление подготовки и курс), ФИО научного руководителя</w:t>
      </w:r>
      <w:r>
        <w:rPr/>
        <w:t xml:space="preserve"> (</w:t>
      </w:r>
      <w:r>
        <w:rPr>
          <w:color w:val="000000"/>
          <w:sz w:val="28"/>
          <w:szCs w:val="28"/>
        </w:rPr>
        <w:t xml:space="preserve">кегль – 14).   </w:t>
      </w:r>
    </w:p>
    <w:p>
      <w:pPr>
        <w:pStyle w:val="Normal"/>
        <w:tabs>
          <w:tab w:val="clear" w:pos="708"/>
          <w:tab w:val="left" w:pos="0" w:leader="none"/>
          <w:tab w:val="left" w:pos="957" w:leader="none"/>
        </w:tabs>
        <w:spacing w:lineRule="auto" w:line="276"/>
        <w:jc w:val="both"/>
        <w:rPr>
          <w:color w:val="000000"/>
          <w:sz w:val="28"/>
          <w:szCs w:val="28"/>
        </w:rPr>
      </w:pPr>
      <w:r>
        <w:rPr>
          <w:color w:val="000000"/>
          <w:sz w:val="28"/>
          <w:szCs w:val="28"/>
        </w:rPr>
        <w:tab/>
        <w:t>2. Объем статьи 4-10 страниц А4 формата, включая аннотацию, ключевые слова, содержание статьи и список литературы (шрифт — Times New Roman, интервал – 1,5; поля: слева, справа, верх, низ – 2 см), включая таблицы, схемы, рисунки и список литературы. Объем статьи (с иллюстрациями) в электронном формате не должен превышать 20 МВ.</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t>4. Таблицы должны содержать только необходимые данные и представлять собой обобщенные и статистически обработанные материалы. Каждая таблица снабжается заголовком.</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t>5. Количество графического материала должно быть минимальным (не более 5 рисунков). Каждый рисунок должен иметь подпись (под рисунком), в которой дается объяснение всех его элементов. Для построения графиков и диаграмм следует использовать программу Microsoft Office Excel. Каждый рисунок вставляется в текст как объект Microsoft Office Excel.  Все медиафайлы (рисунки, фотографии, схемы, презентации и т.п.) прилагаются к статье отдельными файлами в формате jpg.</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t>6. Библиографические ссылки в тексте статьи следует давать в квадратных скобках в соответствии с нумерацией в списке литературы. Список литературы составляется в алфавитном порядке: сначала отечественные, затем зарубежные авторы и оформляется в соответствии с ГОСТ Р 7.0.5 2008.</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t>7. Все статьи проходят проверку в системе «Антиплагиат». Доля заимствованного текста не должна превышать 30%.</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t>8. Редакция оставляет за собой право на сокращение и редактирование статей.</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r>
    </w:p>
    <w:p>
      <w:pPr>
        <w:pStyle w:val="Normal"/>
        <w:tabs>
          <w:tab w:val="clear" w:pos="708"/>
          <w:tab w:val="left" w:pos="0" w:leader="none"/>
          <w:tab w:val="left" w:pos="957" w:leader="none"/>
        </w:tabs>
        <w:spacing w:lineRule="auto" w:line="276"/>
        <w:ind w:firstLine="709"/>
        <w:jc w:val="center"/>
        <w:rPr>
          <w:b/>
          <w:color w:val="000000"/>
          <w:sz w:val="28"/>
          <w:szCs w:val="28"/>
        </w:rPr>
      </w:pPr>
      <w:r>
        <w:rPr>
          <w:b/>
          <w:color w:val="000000"/>
          <w:sz w:val="28"/>
          <w:szCs w:val="28"/>
        </w:rPr>
        <w:t xml:space="preserve">Образец оформления статьи </w:t>
      </w:r>
    </w:p>
    <w:p>
      <w:pPr>
        <w:pStyle w:val="Normal"/>
        <w:spacing w:lineRule="auto" w:line="360"/>
        <w:rPr>
          <w:sz w:val="28"/>
          <w:szCs w:val="28"/>
        </w:rPr>
      </w:pPr>
      <w:r>
        <w:rPr/>
      </w:r>
    </w:p>
    <w:p>
      <w:pPr>
        <w:pStyle w:val="Normal"/>
        <w:spacing w:lineRule="auto" w:line="360"/>
        <w:rPr>
          <w:sz w:val="28"/>
          <w:szCs w:val="28"/>
        </w:rPr>
      </w:pPr>
      <w:r>
        <w:rPr>
          <w:sz w:val="28"/>
          <w:szCs w:val="28"/>
        </w:rPr>
        <w:t>УДК 316.444</w:t>
      </w:r>
    </w:p>
    <w:p>
      <w:pPr>
        <w:pStyle w:val="Normal"/>
        <w:tabs>
          <w:tab w:val="clear" w:pos="708"/>
          <w:tab w:val="left" w:pos="0" w:leader="none"/>
          <w:tab w:val="left" w:pos="957" w:leader="none"/>
        </w:tabs>
        <w:spacing w:lineRule="auto" w:line="276"/>
        <w:ind w:firstLine="709"/>
        <w:jc w:val="right"/>
        <w:rPr>
          <w:color w:val="000000"/>
          <w:sz w:val="28"/>
          <w:szCs w:val="28"/>
        </w:rPr>
      </w:pPr>
      <w:r>
        <w:rPr>
          <w:color w:val="000000"/>
          <w:sz w:val="28"/>
          <w:szCs w:val="28"/>
        </w:rPr>
        <w:t>Н.С. Ефимова</w:t>
      </w:r>
    </w:p>
    <w:p>
      <w:pPr>
        <w:pStyle w:val="Normal"/>
        <w:spacing w:lineRule="auto" w:line="360"/>
        <w:ind w:firstLine="709"/>
        <w:jc w:val="center"/>
        <w:rPr>
          <w:b/>
          <w:caps/>
          <w:sz w:val="28"/>
          <w:szCs w:val="28"/>
        </w:rPr>
      </w:pPr>
      <w:r>
        <w:rPr>
          <w:b/>
          <w:caps/>
          <w:sz w:val="28"/>
          <w:szCs w:val="28"/>
        </w:rPr>
        <w:t>СОЦИАЛЬНАЯ МОБИЛЬНОСТЬ КАК УСЛОВИЕ УСПЕШНОСТИ ПОСТРОЕНИЯ КАРЬЕРЫ СТУДЕНТОВ ХИМИКО-ТЕХНОЛОГИЧЕСКОГО УНИВЕРСИТЕТА</w:t>
      </w:r>
    </w:p>
    <w:p>
      <w:pPr>
        <w:pStyle w:val="Normal"/>
        <w:tabs>
          <w:tab w:val="clear" w:pos="708"/>
          <w:tab w:val="left" w:pos="851" w:leader="none"/>
        </w:tabs>
        <w:spacing w:before="0" w:after="0"/>
        <w:ind w:firstLine="709"/>
        <w:contextualSpacing/>
        <w:jc w:val="both"/>
        <w:rPr>
          <w:b/>
          <w:iCs/>
          <w:sz w:val="20"/>
          <w:szCs w:val="20"/>
        </w:rPr>
      </w:pPr>
      <w:r>
        <w:rPr>
          <w:b/>
          <w:iCs/>
          <w:sz w:val="20"/>
          <w:szCs w:val="20"/>
        </w:rPr>
      </w:r>
    </w:p>
    <w:p>
      <w:pPr>
        <w:pStyle w:val="Normal"/>
        <w:tabs>
          <w:tab w:val="clear" w:pos="708"/>
          <w:tab w:val="left" w:pos="851" w:leader="none"/>
        </w:tabs>
        <w:spacing w:lineRule="auto" w:line="360" w:before="0" w:after="0"/>
        <w:ind w:firstLine="709"/>
        <w:contextualSpacing/>
        <w:jc w:val="both"/>
        <w:rPr>
          <w:iCs/>
          <w:szCs w:val="24"/>
        </w:rPr>
      </w:pPr>
      <w:r>
        <w:rPr>
          <w:iCs/>
          <w:szCs w:val="24"/>
        </w:rPr>
        <w:t>В статье рассмотрена проблема социальной мобильности как условие построения профессиональной карьеры и сделаны выводы о необходимости формирования социальной мобильности студентов. Приведены мнения социологов и психологов по разным аспектам социальной мобильности, проанализированы результаты опроса студентов химико-технологического университета о приоритетах карьеры и профессионального и личностного развития.</w:t>
      </w:r>
    </w:p>
    <w:p>
      <w:pPr>
        <w:pStyle w:val="Normal"/>
        <w:tabs>
          <w:tab w:val="clear" w:pos="708"/>
          <w:tab w:val="left" w:pos="851" w:leader="none"/>
        </w:tabs>
        <w:spacing w:lineRule="auto" w:line="360" w:before="0" w:after="0"/>
        <w:contextualSpacing/>
        <w:jc w:val="both"/>
        <w:rPr>
          <w:iCs/>
          <w:szCs w:val="24"/>
        </w:rPr>
      </w:pPr>
      <w:r>
        <w:rPr>
          <w:iCs/>
          <w:szCs w:val="24"/>
        </w:rPr>
        <w:tab/>
        <w:t xml:space="preserve">Ключевые слова: социальная мобильность, профессиональное и личностное развитие,  карьера.  </w:t>
      </w:r>
    </w:p>
    <w:p>
      <w:pPr>
        <w:pStyle w:val="Normal"/>
        <w:tabs>
          <w:tab w:val="clear" w:pos="708"/>
          <w:tab w:val="left" w:pos="851" w:leader="none"/>
        </w:tabs>
        <w:spacing w:lineRule="auto" w:line="360" w:before="0" w:after="0"/>
        <w:ind w:firstLine="709"/>
        <w:contextualSpacing/>
        <w:jc w:val="right"/>
        <w:rPr>
          <w:iCs/>
          <w:sz w:val="28"/>
          <w:szCs w:val="28"/>
          <w:lang w:val="en-US"/>
        </w:rPr>
      </w:pPr>
      <w:r>
        <w:rPr>
          <w:iCs/>
          <w:sz w:val="28"/>
          <w:szCs w:val="28"/>
          <w:lang w:val="en-US"/>
        </w:rPr>
        <w:t>N. S. Efimova</w:t>
      </w:r>
    </w:p>
    <w:p>
      <w:pPr>
        <w:pStyle w:val="Normal"/>
        <w:tabs>
          <w:tab w:val="clear" w:pos="708"/>
          <w:tab w:val="left" w:pos="851" w:leader="none"/>
        </w:tabs>
        <w:spacing w:lineRule="auto" w:line="360" w:before="0" w:after="0"/>
        <w:ind w:firstLine="709"/>
        <w:contextualSpacing/>
        <w:jc w:val="center"/>
        <w:rPr>
          <w:b/>
          <w:iCs/>
          <w:sz w:val="28"/>
          <w:szCs w:val="28"/>
          <w:lang w:val="en-US"/>
        </w:rPr>
      </w:pPr>
      <w:r>
        <w:rPr>
          <w:b/>
          <w:iCs/>
          <w:sz w:val="28"/>
          <w:szCs w:val="28"/>
          <w:lang w:val="en-US"/>
        </w:rPr>
        <w:t>SOCIAL MOBILITY AS A CONDITION OF SUCCESSFUL CAREER BUILDING OF STUDENTS OF CHEMICAL-TECHNOLOGICAL UNIVERSITY</w:t>
      </w:r>
    </w:p>
    <w:p>
      <w:pPr>
        <w:pStyle w:val="Normal"/>
        <w:tabs>
          <w:tab w:val="clear" w:pos="708"/>
          <w:tab w:val="left" w:pos="851" w:leader="none"/>
        </w:tabs>
        <w:spacing w:lineRule="auto" w:line="360" w:before="0" w:after="0"/>
        <w:ind w:firstLine="709"/>
        <w:contextualSpacing/>
        <w:jc w:val="center"/>
        <w:rPr>
          <w:b/>
          <w:iCs/>
          <w:sz w:val="28"/>
          <w:szCs w:val="28"/>
          <w:lang w:val="en-US"/>
        </w:rPr>
      </w:pPr>
      <w:r>
        <w:rPr>
          <w:b/>
          <w:iCs/>
          <w:sz w:val="28"/>
          <w:szCs w:val="28"/>
          <w:lang w:val="en-US"/>
        </w:rPr>
      </w:r>
    </w:p>
    <w:p>
      <w:pPr>
        <w:pStyle w:val="Normal"/>
        <w:tabs>
          <w:tab w:val="clear" w:pos="708"/>
          <w:tab w:val="left" w:pos="851" w:leader="none"/>
        </w:tabs>
        <w:spacing w:lineRule="auto" w:line="360" w:before="0" w:after="0"/>
        <w:ind w:firstLine="709"/>
        <w:contextualSpacing/>
        <w:jc w:val="both"/>
        <w:rPr>
          <w:iCs/>
          <w:szCs w:val="24"/>
          <w:lang w:val="en-US"/>
        </w:rPr>
      </w:pPr>
      <w:r>
        <w:rPr>
          <w:iCs/>
          <w:szCs w:val="24"/>
          <w:lang w:val="en-US"/>
        </w:rPr>
        <w:t>The article deals with the problem of social mobility as a condition for building a professional career and draws conclusions about the need for the formation of social mobility of students. Opinions of sociologists and psychologists on different aspects of social mobility are given, results of poll of students of chemical-technological University about priorities of career and professional and personal development are analyzed.</w:t>
      </w:r>
    </w:p>
    <w:p>
      <w:pPr>
        <w:pStyle w:val="Normal"/>
        <w:tabs>
          <w:tab w:val="clear" w:pos="708"/>
          <w:tab w:val="left" w:pos="851" w:leader="none"/>
        </w:tabs>
        <w:spacing w:lineRule="auto" w:line="360" w:before="0" w:after="0"/>
        <w:ind w:firstLine="709"/>
        <w:contextualSpacing/>
        <w:jc w:val="both"/>
        <w:rPr>
          <w:iCs/>
          <w:szCs w:val="24"/>
          <w:lang w:val="en-US"/>
        </w:rPr>
      </w:pPr>
      <w:r>
        <w:rPr>
          <w:iCs/>
          <w:szCs w:val="24"/>
          <w:lang w:val="en-US"/>
        </w:rPr>
        <w:t>Key words: social mobility, professional and personal development, career.</w:t>
      </w:r>
    </w:p>
    <w:p>
      <w:pPr>
        <w:pStyle w:val="Normal"/>
        <w:tabs>
          <w:tab w:val="clear" w:pos="708"/>
          <w:tab w:val="left" w:pos="851" w:leader="none"/>
        </w:tabs>
        <w:spacing w:lineRule="auto" w:line="360" w:before="0" w:after="0"/>
        <w:ind w:firstLine="709"/>
        <w:contextualSpacing/>
        <w:jc w:val="both"/>
        <w:rPr>
          <w:iCs/>
          <w:sz w:val="28"/>
          <w:szCs w:val="24"/>
          <w:lang w:val="en-US"/>
        </w:rPr>
      </w:pPr>
      <w:r>
        <w:rPr>
          <w:iCs/>
          <w:sz w:val="28"/>
          <w:szCs w:val="24"/>
          <w:lang w:val="en-US"/>
        </w:rPr>
      </w:r>
    </w:p>
    <w:p>
      <w:pPr>
        <w:pStyle w:val="Normal"/>
        <w:tabs>
          <w:tab w:val="clear" w:pos="708"/>
          <w:tab w:val="left" w:pos="0" w:leader="none"/>
          <w:tab w:val="left" w:pos="957" w:leader="none"/>
        </w:tabs>
        <w:spacing w:lineRule="auto" w:line="360"/>
        <w:ind w:firstLine="709"/>
        <w:jc w:val="both"/>
        <w:rPr>
          <w:color w:val="000000"/>
          <w:sz w:val="28"/>
          <w:szCs w:val="28"/>
        </w:rPr>
      </w:pPr>
      <w:r>
        <w:rPr>
          <w:color w:val="000000"/>
          <w:sz w:val="28"/>
          <w:szCs w:val="28"/>
        </w:rPr>
        <w:t xml:space="preserve">Основной текст. Основной текст [2, </w:t>
      </w:r>
      <w:r>
        <w:rPr>
          <w:color w:val="000000"/>
          <w:sz w:val="28"/>
          <w:szCs w:val="28"/>
        </w:rPr>
        <w:t>С</w:t>
      </w:r>
      <w:r>
        <w:rPr>
          <w:color w:val="000000"/>
          <w:sz w:val="28"/>
          <w:szCs w:val="28"/>
        </w:rPr>
        <w:t xml:space="preserve">. 45]. Основной текст. Основной текст. Основной текст [1, </w:t>
      </w:r>
      <w:r>
        <w:rPr>
          <w:color w:val="000000"/>
          <w:sz w:val="28"/>
          <w:szCs w:val="28"/>
        </w:rPr>
        <w:t>С</w:t>
      </w:r>
      <w:r>
        <w:rPr>
          <w:color w:val="000000"/>
          <w:sz w:val="28"/>
          <w:szCs w:val="28"/>
        </w:rPr>
        <w:t xml:space="preserve">. 8]. Основной текст. Основной текст [4, </w:t>
      </w:r>
      <w:r>
        <w:rPr>
          <w:color w:val="000000"/>
          <w:sz w:val="28"/>
          <w:szCs w:val="28"/>
        </w:rPr>
        <w:t>С</w:t>
      </w:r>
      <w:r>
        <w:rPr>
          <w:color w:val="000000"/>
          <w:sz w:val="28"/>
          <w:szCs w:val="28"/>
        </w:rPr>
        <w:t>. 23]. Основной текст. Основной текст.</w:t>
      </w:r>
    </w:p>
    <w:p>
      <w:pPr>
        <w:pStyle w:val="Normal"/>
        <w:tabs>
          <w:tab w:val="clear" w:pos="708"/>
          <w:tab w:val="left" w:pos="0" w:leader="none"/>
          <w:tab w:val="left" w:pos="957" w:leader="none"/>
        </w:tabs>
        <w:spacing w:lineRule="auto" w:line="276"/>
        <w:ind w:firstLine="709"/>
        <w:jc w:val="both"/>
        <w:rPr>
          <w:color w:val="000000"/>
          <w:sz w:val="28"/>
          <w:szCs w:val="28"/>
        </w:rPr>
      </w:pPr>
      <w:r>
        <w:rPr>
          <w:color w:val="000000"/>
          <w:sz w:val="28"/>
          <w:szCs w:val="28"/>
        </w:rPr>
      </w:r>
    </w:p>
    <w:p>
      <w:pPr>
        <w:pStyle w:val="Normal"/>
        <w:spacing w:lineRule="auto" w:line="360"/>
        <w:ind w:hanging="0"/>
        <w:jc w:val="center"/>
        <w:rPr>
          <w:sz w:val="28"/>
          <w:szCs w:val="28"/>
        </w:rPr>
      </w:pPr>
      <w:r>
        <w:rPr>
          <w:sz w:val="28"/>
          <w:szCs w:val="28"/>
        </w:rPr>
        <w:t>Литература</w:t>
      </w:r>
    </w:p>
    <w:p>
      <w:pPr>
        <w:pStyle w:val="Normal"/>
        <w:widowControl/>
        <w:numPr>
          <w:ilvl w:val="0"/>
          <w:numId w:val="1"/>
        </w:numPr>
        <w:tabs>
          <w:tab w:val="clear" w:pos="708"/>
          <w:tab w:val="left" w:pos="736" w:leader="none"/>
          <w:tab w:val="left" w:pos="845" w:leader="none"/>
        </w:tabs>
        <w:suppressAutoHyphens w:val="true"/>
        <w:bidi w:val="0"/>
        <w:spacing w:lineRule="auto" w:line="360" w:before="0" w:after="0"/>
        <w:ind w:firstLine="567" w:left="0" w:right="0"/>
        <w:jc w:val="both"/>
        <w:rPr>
          <w:sz w:val="28"/>
          <w:szCs w:val="28"/>
        </w:rPr>
      </w:pPr>
      <w:r>
        <w:rPr>
          <w:spacing w:val="-5"/>
          <w:kern w:val="2"/>
          <w:sz w:val="28"/>
          <w:szCs w:val="28"/>
        </w:rPr>
        <w:t>Монусова  Г.А.  Объективная и субъективная социальная мобильн6ость в межстрановой перспективе // Вестник общественного мнения.  №3-4 (122). 2016. С. 52-66.</w:t>
      </w:r>
    </w:p>
    <w:p>
      <w:pPr>
        <w:pStyle w:val="Normal"/>
        <w:tabs>
          <w:tab w:val="clear" w:pos="708"/>
          <w:tab w:val="left" w:pos="1134" w:leader="none"/>
        </w:tabs>
        <w:spacing w:lineRule="auto" w:line="360" w:before="0" w:after="200"/>
        <w:contextualSpacing/>
        <w:jc w:val="center"/>
        <w:rPr>
          <w:spacing w:val="-5"/>
          <w:kern w:val="2"/>
          <w:sz w:val="28"/>
          <w:szCs w:val="28"/>
        </w:rPr>
      </w:pPr>
      <w:r>
        <w:rPr/>
      </w:r>
    </w:p>
    <w:p>
      <w:pPr>
        <w:pStyle w:val="Normal"/>
        <w:tabs>
          <w:tab w:val="clear" w:pos="708"/>
          <w:tab w:val="left" w:pos="1134" w:leader="none"/>
        </w:tabs>
        <w:spacing w:lineRule="auto" w:line="360" w:before="0" w:after="200"/>
        <w:contextualSpacing/>
        <w:jc w:val="center"/>
        <w:rPr>
          <w:spacing w:val="-5"/>
          <w:kern w:val="2"/>
          <w:sz w:val="28"/>
          <w:szCs w:val="28"/>
        </w:rPr>
      </w:pPr>
      <w:r>
        <w:rPr>
          <w:spacing w:val="-5"/>
          <w:kern w:val="2"/>
          <w:sz w:val="28"/>
          <w:szCs w:val="28"/>
        </w:rPr>
        <w:t>Информация об авторе</w:t>
      </w:r>
    </w:p>
    <w:p>
      <w:pPr>
        <w:pStyle w:val="Normal"/>
        <w:tabs>
          <w:tab w:val="clear" w:pos="708"/>
          <w:tab w:val="left" w:pos="1134" w:leader="none"/>
        </w:tabs>
        <w:spacing w:lineRule="auto" w:line="360" w:before="0" w:after="200"/>
        <w:contextualSpacing/>
        <w:jc w:val="both"/>
        <w:rPr/>
      </w:pPr>
      <w:r>
        <w:rPr>
          <w:spacing w:val="-5"/>
          <w:kern w:val="2"/>
          <w:sz w:val="28"/>
          <w:szCs w:val="28"/>
        </w:rPr>
        <w:tab/>
      </w:r>
      <w:r>
        <w:rPr>
          <w:b/>
          <w:bCs/>
          <w:spacing w:val="-5"/>
          <w:kern w:val="2"/>
          <w:sz w:val="28"/>
          <w:szCs w:val="28"/>
        </w:rPr>
        <w:t>Ефимова Наталья Сергеевна</w:t>
      </w:r>
      <w:r>
        <w:rPr>
          <w:spacing w:val="-5"/>
          <w:kern w:val="2"/>
          <w:sz w:val="28"/>
          <w:szCs w:val="28"/>
        </w:rPr>
        <w:t xml:space="preserve"> – кандидат психологических наук, доцент, заведующая кафедрой социологии, Российский химико-технологический университет имени Д.И. Менделеева (РХТУ) г. Москва, e-mail: </w:t>
      </w:r>
      <w:hyperlink r:id="rId3">
        <w:r>
          <w:rPr>
            <w:rStyle w:val="Hyperlink"/>
            <w:color w:val="auto"/>
            <w:spacing w:val="-5"/>
            <w:kern w:val="2"/>
            <w:sz w:val="28"/>
            <w:szCs w:val="28"/>
            <w:u w:val="none"/>
          </w:rPr>
          <w:t>e</w:t>
        </w:r>
        <w:r>
          <w:rPr>
            <w:rStyle w:val="Hyperlink"/>
            <w:color w:val="auto"/>
            <w:spacing w:val="-5"/>
            <w:kern w:val="2"/>
            <w:sz w:val="28"/>
            <w:szCs w:val="28"/>
            <w:u w:val="none"/>
          </w:rPr>
          <w:t>f</w:t>
        </w:r>
      </w:hyperlink>
      <w:r>
        <w:rPr>
          <w:color w:val="auto"/>
          <w:spacing w:val="-5"/>
          <w:kern w:val="2"/>
          <w:sz w:val="28"/>
          <w:szCs w:val="28"/>
          <w:u w:val="none"/>
        </w:rPr>
        <w:t>imova.n.s@muctr.ru</w:t>
      </w:r>
    </w:p>
    <w:p>
      <w:pPr>
        <w:pStyle w:val="Normal"/>
        <w:spacing w:lineRule="auto" w:line="360"/>
        <w:jc w:val="both"/>
        <w:rPr>
          <w:rFonts w:eastAsia="Times New Roman"/>
          <w:color w:val="FF0000"/>
          <w:sz w:val="28"/>
          <w:szCs w:val="28"/>
          <w:lang w:eastAsia="ru-RU"/>
        </w:rPr>
      </w:pPr>
      <w:r>
        <w:rPr>
          <w:rFonts w:eastAsia="Times New Roman"/>
          <w:color w:val="FF0000"/>
          <w:sz w:val="28"/>
          <w:szCs w:val="28"/>
          <w:lang w:eastAsia="ru-RU"/>
        </w:rPr>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6b24"/>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9587a"/>
    <w:rPr>
      <w:color w:themeColor="hyperlink" w:val="0000FF"/>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Times New Roman" w:hAnsi="Times New Roman"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Noto Sans Devanagari"/>
    </w:rPr>
  </w:style>
  <w:style w:type="paragraph" w:styleId="Caption">
    <w:name w:val="Caption"/>
    <w:basedOn w:val="Normal"/>
    <w:qFormat/>
    <w:pPr>
      <w:suppressLineNumbers/>
      <w:spacing w:before="120" w:after="120"/>
    </w:pPr>
    <w:rPr>
      <w:rFonts w:ascii="Times New Roman" w:hAnsi="Times New Roman" w:cs="Noto Sans Devanagari"/>
      <w:i/>
      <w:iCs/>
      <w:sz w:val="24"/>
      <w:szCs w:val="24"/>
    </w:rPr>
  </w:style>
  <w:style w:type="paragraph" w:styleId="Index">
    <w:name w:val="Index"/>
    <w:basedOn w:val="Normal"/>
    <w:qFormat/>
    <w:pPr>
      <w:suppressLineNumbers/>
    </w:pPr>
    <w:rPr>
      <w:rFonts w:ascii="Times New Roman" w:hAnsi="Times New Roman"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fimova.n.s@muctr.ru" TargetMode="External"/><Relationship Id="rId3" Type="http://schemas.openxmlformats.org/officeDocument/2006/relationships/hyperlink" Target="mailto:enspsiholog@mail.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LibreOffice/7.6.1.2$Linux_X86_64 LibreOffice_project/f5defcebd022c5bc36bbb79be232cb6926d8f674</Application>
  <AppVersion>15.0000</AppVersion>
  <Pages>3</Pages>
  <Words>636</Words>
  <Characters>4338</Characters>
  <CharactersWithSpaces>4977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2019-09-27T18:51:00Z</dcterms:created>
  <dc:creator>Lusy</dc:creator>
  <dc:description/>
  <dc:language>en-US</dc:language>
  <cp:lastModifiedBy/>
  <dcterms:modified xsi:type="dcterms:W3CDTF">2024-02-25T13:04:45Z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